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Heading1"/>
      </w:pPr>
      <w:r>
        <w:t>Konferencja „Innowacje 2025”</w:t>
      </w:r>
    </w:p>
    <w:p>
      <w:pPr>
        <w:pStyle w:val="Heading2"/>
      </w:pPr>
      <w:r>
        <w:t>Informacje podstawowe</w:t>
      </w:r>
    </w:p>
    <w:p>
      <w:pPr>
        <w:pStyle w:val="ListBullet"/>
      </w:pPr>
      <w:r>
        <w:t>Data: 15 października 2025 r., 9:00–17:00</w:t>
      </w:r>
    </w:p>
    <w:p>
      <w:pPr>
        <w:pStyle w:val="ListBullet"/>
      </w:pPr>
      <w:r>
        <w:t>Miejsce: Centrum Wykładowe PP, ul. Piotrowo 2</w:t>
      </w:r>
    </w:p>
    <w:p>
      <w:r>
        <w:rPr>
          <w:b/>
        </w:rPr>
        <w:t>Formularz rejestracyjny</w:t>
      </w:r>
      <w:r>
        <w:t xml:space="preserve"> – </w:t>
      </w:r>
      <w:r>
        <w:t>https://…</w:t>
      </w:r>
    </w:p>
    <w:p/>
    <w:p>
      <w:r>
        <w:drawing>
          <wp:inline xmlns:a="http://schemas.openxmlformats.org/drawingml/2006/main" xmlns:pic="http://schemas.openxmlformats.org/drawingml/2006/picture">
            <wp:extent cx="3657600" cy="24384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Kafelek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438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"/>
        <w:jc w:val="center"/>
      </w:pPr>
      <w:r>
        <w:t>ALT (przykład): Kafelek graficzny wydarzenia – element ozdobny.</w:t>
      </w:r>
    </w:p>
    <w:p>
      <w:pPr>
        <w:pStyle w:val="Heading2"/>
      </w:pPr>
      <w:r>
        <w:t>Program i goście</w:t>
      </w:r>
    </w:p>
    <w:p>
      <w:pPr>
        <w:pStyle w:val="ListNumber"/>
      </w:pPr>
      <w:r>
        <w:t>10:00–12:00 – Prezentacje ekspertów</w:t>
      </w:r>
    </w:p>
    <w:p>
      <w:pPr>
        <w:pStyle w:val="ListNumber"/>
      </w:pPr>
      <w:r>
        <w:t>11:30 – Prezentacje projektów studenckich</w:t>
      </w:r>
    </w:p>
    <w:p>
      <w:pPr>
        <w:pStyle w:val="ListNumber"/>
      </w:pPr>
      <w:r>
        <w:t>12:00 – Przerwa</w:t>
      </w:r>
    </w:p>
    <w:p>
      <w:pPr>
        <w:pStyle w:val="ListNumber"/>
      </w:pPr>
      <w:r>
        <w:t>14:00–16:00 – Warsztaty</w:t>
      </w:r>
    </w:p>
    <w:p>
      <w:pPr>
        <w:pStyle w:val="Heading2"/>
      </w:pPr>
      <w:r>
        <w:t>Opłaty i punkty ECTS</w:t>
      </w:r>
    </w:p>
    <w:tbl>
      <w:tblPr>
        <w:tblStyle w:val="TableGrid"/>
        <w:tblW w:type="auto" w:w="0"/>
        <w:tblLook w:firstColumn="1" w:firstRow="1" w:lastColumn="0" w:lastRow="0" w:noHBand="0" w:noVBand="1" w:val="04A0"/>
      </w:tblPr>
      <w:tblGrid>
        <w:gridCol w:w="2880"/>
        <w:gridCol w:w="2880"/>
        <w:gridCol w:w="2880"/>
      </w:tblGrid>
      <w:tr>
        <w:tc>
          <w:tcPr>
            <w:tcW w:type="dxa" w:w="2880"/>
          </w:tcPr>
          <w:p>
            <w:r>
              <w:rPr>
                <w:b/>
              </w:rPr>
              <w:t>Typ</w:t>
            </w:r>
          </w:p>
        </w:tc>
        <w:tc>
          <w:tcPr>
            <w:tcW w:type="dxa" w:w="2880"/>
          </w:tcPr>
          <w:p>
            <w:r>
              <w:rPr>
                <w:b/>
              </w:rPr>
              <w:t>Opłata</w:t>
            </w:r>
          </w:p>
        </w:tc>
        <w:tc>
          <w:tcPr>
            <w:tcW w:type="dxa" w:w="2880"/>
          </w:tcPr>
          <w:p>
            <w:r>
              <w:rPr>
                <w:b/>
              </w:rPr>
              <w:t>ECTS</w:t>
            </w:r>
          </w:p>
        </w:tc>
      </w:tr>
      <w:tr>
        <w:tc>
          <w:tcPr>
            <w:tcW w:type="dxa" w:w="2880"/>
          </w:tcPr>
          <w:p>
            <w:r>
              <w:t>Studenci</w:t>
            </w:r>
          </w:p>
        </w:tc>
        <w:tc>
          <w:tcPr>
            <w:tcW w:type="dxa" w:w="2880"/>
          </w:tcPr>
          <w:p>
            <w:r>
              <w:t>0</w:t>
            </w:r>
          </w:p>
        </w:tc>
        <w:tc>
          <w:tcPr>
            <w:tcW w:type="dxa" w:w="2880"/>
          </w:tcPr>
          <w:p>
            <w:r>
              <w:t>1–2</w:t>
            </w:r>
          </w:p>
        </w:tc>
      </w:tr>
      <w:tr>
        <w:tc>
          <w:tcPr>
            <w:tcW w:type="dxa" w:w="2880"/>
          </w:tcPr>
          <w:p>
            <w:r>
              <w:t>Pracownicy</w:t>
            </w:r>
          </w:p>
        </w:tc>
        <w:tc>
          <w:tcPr>
            <w:tcW w:type="dxa" w:w="2880"/>
          </w:tcPr>
          <w:p>
            <w:r>
              <w:t>0</w:t>
            </w:r>
          </w:p>
        </w:tc>
        <w:tc>
          <w:tcPr>
            <w:tcW w:type="dxa" w:w="2880"/>
          </w:tcPr>
          <w:p>
            <w:r>
              <w:t>n/d</w:t>
            </w:r>
          </w:p>
        </w:tc>
      </w:tr>
      <w:tr>
        <w:tc>
          <w:tcPr>
            <w:tcW w:type="dxa" w:w="2880"/>
          </w:tcPr>
          <w:p>
            <w:r>
              <w:t>Uczestnicy zewnętrzni</w:t>
            </w:r>
          </w:p>
        </w:tc>
        <w:tc>
          <w:tcPr>
            <w:tcW w:type="dxa" w:w="2880"/>
          </w:tcPr>
          <w:p>
            <w:r>
              <w:t>100</w:t>
            </w:r>
          </w:p>
        </w:tc>
        <w:tc>
          <w:tcPr>
            <w:tcW w:type="dxa" w:w="2880"/>
          </w:tcPr>
          <w:p>
            <w:r>
              <w:t>0</w:t>
            </w:r>
          </w:p>
        </w:tc>
      </w:tr>
    </w:tbl>
    <w:p>
      <w:pPr>
        <w:pStyle w:val="Heading2"/>
      </w:pPr>
      <w:r>
        <w:t>Kontakt</w:t>
      </w:r>
    </w:p>
    <w:p>
      <w:r>
        <w:t>E-mail: innowacje@put.poznan.pl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Komunikat – Konferencja Innowacje 2025</dc:title>
  <dc:subject>Informacja o wydarzeniu – program i rejestracja</dc:subject>
  <dc:creator>Biuro Konferencji PP</dc:creator>
  <cp:keywords>Politechnika Poznańska; konferencja; program; rejestracja</cp:keywords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